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57"/>
        <w:tblW w:w="10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3"/>
        <w:gridCol w:w="7919"/>
      </w:tblGrid>
      <w:tr w:rsidR="00EA09E9" w:rsidRPr="0075091F" w:rsidTr="00EA09E9">
        <w:trPr>
          <w:trHeight w:val="253"/>
        </w:trPr>
        <w:tc>
          <w:tcPr>
            <w:tcW w:w="2783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  <w:sz w:val="24"/>
                <w:szCs w:val="24"/>
              </w:rPr>
            </w:pPr>
            <w:r>
              <w:rPr>
                <w:rFonts w:cs="Microsoft Sans Serif"/>
                <w:b/>
                <w:sz w:val="24"/>
                <w:szCs w:val="24"/>
              </w:rPr>
              <w:t>BÖLÜM</w:t>
            </w:r>
          </w:p>
        </w:tc>
        <w:tc>
          <w:tcPr>
            <w:tcW w:w="7919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</w:rPr>
            </w:pPr>
            <w:r>
              <w:rPr>
                <w:rFonts w:cs="Microsoft Sans Serif"/>
              </w:rPr>
              <w:t>ULUSLARARASI İLİŞKİLER OFİSİ</w:t>
            </w:r>
          </w:p>
        </w:tc>
      </w:tr>
      <w:tr w:rsidR="00EA09E9" w:rsidRPr="0075091F" w:rsidTr="00EA09E9">
        <w:trPr>
          <w:trHeight w:val="244"/>
        </w:trPr>
        <w:tc>
          <w:tcPr>
            <w:tcW w:w="2783" w:type="dxa"/>
          </w:tcPr>
          <w:p w:rsidR="00EA09E9" w:rsidRPr="00E63483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  <w:sz w:val="24"/>
                <w:szCs w:val="24"/>
              </w:rPr>
            </w:pPr>
            <w:r w:rsidRPr="00E63483">
              <w:rPr>
                <w:rFonts w:cs="Microsoft Sans Serif"/>
                <w:b/>
                <w:sz w:val="24"/>
                <w:szCs w:val="24"/>
              </w:rPr>
              <w:t>ÜNVANI</w:t>
            </w:r>
          </w:p>
        </w:tc>
        <w:tc>
          <w:tcPr>
            <w:tcW w:w="7919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</w:rPr>
            </w:pPr>
            <w:r>
              <w:rPr>
                <w:rFonts w:cs="Microsoft Sans Serif"/>
              </w:rPr>
              <w:t>Uzman</w:t>
            </w:r>
          </w:p>
        </w:tc>
      </w:tr>
      <w:tr w:rsidR="00EA09E9" w:rsidRPr="0075091F" w:rsidTr="00EA09E9">
        <w:trPr>
          <w:trHeight w:val="220"/>
        </w:trPr>
        <w:tc>
          <w:tcPr>
            <w:tcW w:w="2783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  <w:sz w:val="24"/>
                <w:szCs w:val="24"/>
              </w:rPr>
            </w:pPr>
            <w:r>
              <w:rPr>
                <w:rFonts w:cs="Microsoft Sans Serif"/>
                <w:b/>
                <w:sz w:val="24"/>
                <w:szCs w:val="24"/>
              </w:rPr>
              <w:t>BAĞLI OLDUĞU YÖNETİCİ</w:t>
            </w:r>
          </w:p>
        </w:tc>
        <w:tc>
          <w:tcPr>
            <w:tcW w:w="7919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</w:rPr>
            </w:pPr>
            <w:r>
              <w:rPr>
                <w:rFonts w:cs="Microsoft Sans Serif"/>
              </w:rPr>
              <w:t>Uluslararası İlişkiler Koordinatörü</w:t>
            </w:r>
          </w:p>
        </w:tc>
      </w:tr>
      <w:tr w:rsidR="00EA09E9" w:rsidRPr="0075091F" w:rsidTr="00EA09E9">
        <w:trPr>
          <w:trHeight w:val="196"/>
        </w:trPr>
        <w:tc>
          <w:tcPr>
            <w:tcW w:w="2783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  <w:sz w:val="24"/>
                <w:szCs w:val="24"/>
              </w:rPr>
            </w:pPr>
            <w:r w:rsidRPr="00661489">
              <w:rPr>
                <w:rFonts w:cs="Microsoft Sans Serif"/>
                <w:b/>
                <w:sz w:val="24"/>
                <w:szCs w:val="24"/>
              </w:rPr>
              <w:t>KENDİSİNE BAĞLI BİRİM</w:t>
            </w:r>
          </w:p>
        </w:tc>
        <w:tc>
          <w:tcPr>
            <w:tcW w:w="7919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</w:rPr>
            </w:pPr>
          </w:p>
        </w:tc>
      </w:tr>
      <w:tr w:rsidR="00EA09E9" w:rsidRPr="0075091F" w:rsidTr="00EA09E9">
        <w:trPr>
          <w:trHeight w:val="274"/>
        </w:trPr>
        <w:tc>
          <w:tcPr>
            <w:tcW w:w="2783" w:type="dxa"/>
          </w:tcPr>
          <w:p w:rsidR="00EA09E9" w:rsidRPr="00BF1131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  <w:sz w:val="20"/>
                <w:szCs w:val="20"/>
              </w:rPr>
            </w:pPr>
            <w:r w:rsidRPr="00BF1131">
              <w:rPr>
                <w:rFonts w:cs="Microsoft Sans Serif"/>
                <w:b/>
                <w:sz w:val="20"/>
                <w:szCs w:val="20"/>
              </w:rPr>
              <w:t>VEKALET EDEN ÜNVAN</w:t>
            </w:r>
          </w:p>
        </w:tc>
        <w:tc>
          <w:tcPr>
            <w:tcW w:w="7919" w:type="dxa"/>
          </w:tcPr>
          <w:p w:rsidR="00EA09E9" w:rsidRPr="0066148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</w:rPr>
            </w:pPr>
            <w:r>
              <w:rPr>
                <w:rFonts w:cs="Microsoft Sans Serif"/>
              </w:rPr>
              <w:t xml:space="preserve">Uluslararası İlişkiler Ofisi Memurlarından Biri </w:t>
            </w:r>
          </w:p>
        </w:tc>
      </w:tr>
      <w:tr w:rsidR="00EA09E9" w:rsidRPr="0075091F" w:rsidTr="00EA09E9">
        <w:trPr>
          <w:trHeight w:val="9205"/>
        </w:trPr>
        <w:tc>
          <w:tcPr>
            <w:tcW w:w="2783" w:type="dxa"/>
          </w:tcPr>
          <w:p w:rsidR="00EA09E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</w:rPr>
            </w:pPr>
            <w:r>
              <w:rPr>
                <w:rFonts w:cs="Microsoft Sans Serif"/>
                <w:b/>
              </w:rPr>
              <w:t>GÖREVİN AMACI</w:t>
            </w:r>
          </w:p>
          <w:p w:rsidR="00EA09E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</w:rPr>
            </w:pPr>
          </w:p>
          <w:p w:rsidR="00EA09E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</w:rPr>
            </w:pPr>
          </w:p>
          <w:p w:rsidR="00EA09E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</w:rPr>
            </w:pPr>
          </w:p>
          <w:p w:rsidR="00EA09E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</w:rPr>
            </w:pPr>
          </w:p>
          <w:p w:rsidR="00EA09E9" w:rsidRPr="00C4311A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</w:rPr>
            </w:pPr>
          </w:p>
          <w:p w:rsidR="00EA09E9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</w:rPr>
            </w:pPr>
            <w:r>
              <w:rPr>
                <w:rFonts w:cs="Microsoft Sans Serif"/>
                <w:b/>
              </w:rPr>
              <w:t>GÖREV VE SORUMLULUKLAR:</w:t>
            </w:r>
          </w:p>
          <w:p w:rsidR="00EA09E9" w:rsidRPr="00BF1131" w:rsidRDefault="00EA09E9" w:rsidP="00EA09E9">
            <w:pPr>
              <w:tabs>
                <w:tab w:val="left" w:pos="2835"/>
                <w:tab w:val="left" w:pos="3544"/>
                <w:tab w:val="left" w:pos="5263"/>
                <w:tab w:val="left" w:pos="7413"/>
                <w:tab w:val="left" w:pos="7656"/>
              </w:tabs>
              <w:rPr>
                <w:rFonts w:cs="Microsoft Sans Serif"/>
                <w:b/>
                <w:sz w:val="18"/>
                <w:szCs w:val="18"/>
              </w:rPr>
            </w:pPr>
          </w:p>
        </w:tc>
        <w:tc>
          <w:tcPr>
            <w:tcW w:w="7919" w:type="dxa"/>
          </w:tcPr>
          <w:p w:rsidR="00EA09E9" w:rsidRDefault="00EA09E9" w:rsidP="00EA09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Uluslararası İlişkiler Koordinatörlüğü sorumluluk sahasına giren iş kalemlerinin ve süreçlerinin</w:t>
            </w:r>
            <w:r w:rsidRPr="00A71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eksiksiz şekilde yürütülmesinin sağlanmasına yardımcı olmak; ofis işlerini </w:t>
            </w:r>
            <w:r w:rsidRPr="00A71782">
              <w:rPr>
                <w:rFonts w:ascii="Times New Roman" w:hAnsi="Times New Roman" w:cs="Times New Roman"/>
                <w:sz w:val="24"/>
                <w:szCs w:val="24"/>
              </w:rPr>
              <w:t xml:space="preserve">hiyerarşik yapı içerisinde planlı ve koordineli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şekilde gerçekleştirmek</w:t>
            </w:r>
          </w:p>
          <w:p w:rsidR="00EA09E9" w:rsidRPr="00C41EFA" w:rsidRDefault="00EA09E9" w:rsidP="00EA09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K131 ve K171 Programına ilişkin ikili anlaşma işlemlerinin yürütülmesi; yapılan anlaşmaların takibi ve başvuru dönemi öncesinde güncellenerek iro.hku.edu.tr adresinde ilan edilmesi;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K131 ve K171 Öğrenci Öğrenim ve Staj Hareketliliği ile Personel Ders Verme ve Eğitim Alma Hareketliliği’ne ilişkin takvimin, Erasmus+ Kurum Koordinatörü eşgüdümünde oluşturulması;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Öğrenci Öğrenim ve Staj Hareketliliği kapsamında, Yabancı Diller Yüksekokulu ile İngilizce sözlü ve yazılı sınavların tarih ve yerinin belirlenmesi;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Öğrenci Öğrenim ve Staj Hareketliliği ile Personel Ders Verme ve Eğitim Alma Hareketliliği’ne ilişkin başvuru içeriğinin, Uygulama El Kitabı’nda yer alan direktifler doğrultusunda hazırlanarak Rektörlük onayına sunulması;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Öğrenci Öğrenim ve Staj Hareketliliği ile Personel Ders Verme ve Eğitim Alma Hareketliliği’ne ilişkin başvuruların sevk ve idaresinin sağlanması;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Başvurulara ilişkin ayrıntılı bilginin ve duyurunun öğrenci ve personele toplu mesaj ve e-posta aracılığıyla iletilmesi,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Turnaportal üzerinden alınan başvurularda belgelerinin ve bilgilerin kontrol edilmesi;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Yazılı ve sözlü sınav sonuçların kontrol edilerek, Erasmus+ Seçim Komisyonu’na sunulması, komisyon kararının Rektörlük onayına sunulması,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 xml:space="preserve">Rektörlük onayı sonrasında sonuçların Turnaportal üzerinde ve Uluslararası İlişkiler web sayfasında ilan edilmesi (iro.hku.edu.tr); 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Hareketliliğe hak kazanan öğrenci/personelin feragat ve itiraz süreçlerinin takibi; ardından asil ve yedek adaylara bilgilendirme toplantılarının düzenlenmesi;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Erasmus+ Hareketliliği’ne hak kazanan öğrenciler için karşı kurumlara adaylık mektubunun gönderilmesi; öğrenci ve personel için gerekli belgelerin düzenlenmesi, hibe sözleşmelerinin hazırlanması;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Hibe sözleşmesi imzalanan öğrenci ve personel bilgilerinin Beneficiary Module sistemine  girilmesi;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Hareketliliği’ne ilişkin e-postaların yanıtlanması, adaylara süreç boyunca gerekli yardım ve desteğin sağlanması;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Hareketliliği’ne hak kazanan öğrenci ve personele, imzalanan hibe sözleşmesi kapsamında toplam hibenin 80%’lik ilk ödemesi için Rektörlük onayının alınması ve onay sonrası Mali ve Bütçe İşleri Müdürlüğü aracılığıyla ödemenin gerçekleştirilmesi;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Hareketliliği’ne katılan öğrencilerin üst yazı ile Öğrenci İşleri Müdürlüğü’ne bildirilmesi;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Hareketlilik sırasında Öğrenim Anlaşması (Learning Agreement) üzerinde yapılacak ders ekleme/çıkarma işlemleri için öğrenci ve Erasmus+ Fakülte/Bölüm/Program koordinatörü arasında eşgüdümün sağlanması;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Hareketliliği’ni tamamlayan ve gerekli belgeleri teslim eden öğrenci/personel için 20%’lik kalan hibe ödemesi veya iade işlemleriyle ilgili yazışmaların yürütülmesi;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Hareketliliği’ni tamamlayan öğrencilerin transkript belgelerinin fakülte/bölüm/program bölüm koordinatörlerine ulaştırılması ve belge takibinin yapılması;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Hareketliliği’ni tamamlayan öğrenci ve personelin katılım belgelerinin saklanması ve arşivlenmesi;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öğrenci ve personel değişimine ilişkin Ulusal Ajans ve diğer yükseköğretim kurumları ile yapılan yazışmaların yürütülmesi;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İlgili sözleşme dönemine ait ara rapor ve final raporlarının hazırlanması ve belirlenen tarihlerde Ulusal Ajans’a iletilmesi;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İlgili yıla ait Erasmus+ K131 ve K171 çağrılarına ilişkin başvuruların hazırlanarak son başvuru tarihleri dikkate alınarak yapılması;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öğrenci hareketliliği kapsamında gelen öğrenci başvurularının ilgili birimlere iletilmesi; fakülte/bölüm/program koordinatörleri, Öğrenci İşleri Müdürlüğü ve Lisansüstü Eğitim Müdürlüğü ile iş birliği içinde belge, bilgi, destek sağlanması;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Başvurusu kabul edilen öğrencilerin kabul belgelerinin düzenlenerek öğrenciye ve ilgili üniversitelere gönderilmesi;</w:t>
            </w:r>
          </w:p>
          <w:p w:rsidR="004E3ADF" w:rsidRDefault="004E3ADF" w:rsidP="004E3ADF">
            <w:pPr>
              <w:pStyle w:val="ListeParagraf"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E3ADF" w:rsidRDefault="004E3ADF" w:rsidP="004E3ADF">
            <w:pPr>
              <w:pStyle w:val="ListeParagraf"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ADF" w:rsidRDefault="004E3ADF" w:rsidP="004E3ADF">
            <w:pPr>
              <w:pStyle w:val="ListeParagraf"/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Ulusal Ajans tarafından yapılan Erasmus+ Programı yönerge ve mevzuat düzenlemelerine ilişkin çalışmaların yürütülmesi;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Her yıl fakülte/bölüm/program koordinatörlerine yönelik bilgilendirme eğitiminin düzenlenmesi;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HKU Uluslararası İlişkiler Koordinatörlüğü’na ait web adresinin güncel tutulması ve sosyal medya hesaplarının etkin şekilde kullanımı;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Kurumlararası anlaşma sayılarının artırılması ve bu yönde girişimlerde bulunması;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Erasmus+ Programı süreçlerine ilişkin belge ve bilgilerin arşivlenmesi, takibinin yapılması ve dosyalanması;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Görev alanı itibariyle yürütmekle yükümlü bulunduğu hizmetlerin yerine getirilmesinden dolayı birim amirlerine karşı sorumlu olması;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Faaliyet alanına giren konularla ilgili değişim programı, staj, proje, kongre, konferans gibi eğitim ve öğrenimle ilgili fırsatların öğrencilere ve öğretim elemanlarına duyurulmasının ve tanıtılmasının sağlanması;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autoSpaceDE/>
              <w:autoSpaceDN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Yönetim tarafından gerekli görüldüğü hallerde ulusal ve uluslararası toplantılarda ve fuarlarda Koordinatörlüğün temsil edilmesi;</w:t>
            </w:r>
          </w:p>
          <w:p w:rsidR="00EA09E9" w:rsidRPr="006007DE" w:rsidRDefault="00EA09E9" w:rsidP="00EA09E9">
            <w:pPr>
              <w:pStyle w:val="ListeParagraf"/>
              <w:numPr>
                <w:ilvl w:val="0"/>
                <w:numId w:val="1"/>
              </w:numPr>
              <w:shd w:val="clear" w:color="auto" w:fill="FFFFFF"/>
              <w:autoSpaceDE/>
              <w:autoSpaceDN/>
              <w:jc w:val="both"/>
              <w:rPr>
                <w:rFonts w:asciiTheme="minorHAnsi" w:hAnsiTheme="minorHAnsi" w:cs="Microsoft Sans Serif"/>
                <w:szCs w:val="22"/>
              </w:rPr>
            </w:pPr>
            <w:r w:rsidRPr="006007DE">
              <w:rPr>
                <w:rFonts w:ascii="Times New Roman" w:hAnsi="Times New Roman" w:cs="Times New Roman"/>
                <w:sz w:val="24"/>
                <w:szCs w:val="24"/>
              </w:rPr>
              <w:t>Koordinatörlüğün, kurumu temsilen diğer uluslararası birim ve kurumlarla koordineli bir şekilde çalışmasının sağlanması;</w:t>
            </w:r>
          </w:p>
        </w:tc>
      </w:tr>
    </w:tbl>
    <w:p w:rsidR="002C01F0" w:rsidRDefault="002C01F0"/>
    <w:p w:rsidR="00EA09E9" w:rsidRDefault="00EA09E9"/>
    <w:p w:rsidR="00EA09E9" w:rsidRDefault="00EA09E9"/>
    <w:p w:rsidR="00EA09E9" w:rsidRDefault="00EA09E9"/>
    <w:p w:rsidR="00EA09E9" w:rsidRDefault="00EA09E9"/>
    <w:p w:rsidR="00EA09E9" w:rsidRDefault="00EA09E9"/>
    <w:p w:rsidR="00EA09E9" w:rsidRDefault="00EA09E9"/>
    <w:p w:rsidR="00EA09E9" w:rsidRDefault="00EA09E9"/>
    <w:p w:rsidR="00EA09E9" w:rsidRDefault="00EA09E9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3779"/>
        <w:gridCol w:w="3888"/>
      </w:tblGrid>
      <w:tr w:rsidR="00EA09E9" w:rsidRPr="00513AD2" w:rsidTr="00EA09E9">
        <w:trPr>
          <w:trHeight w:val="284"/>
        </w:trPr>
        <w:tc>
          <w:tcPr>
            <w:tcW w:w="3107" w:type="dxa"/>
            <w:shd w:val="clear" w:color="auto" w:fill="EAEAEA"/>
            <w:vAlign w:val="center"/>
          </w:tcPr>
          <w:p w:rsidR="00EA09E9" w:rsidRPr="0066148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 w:rsidRPr="00661489">
              <w:rPr>
                <w:b/>
                <w:bCs/>
                <w:sz w:val="24"/>
                <w:szCs w:val="24"/>
              </w:rPr>
              <w:lastRenderedPageBreak/>
              <w:t>EĞİTİM</w:t>
            </w:r>
          </w:p>
        </w:tc>
        <w:tc>
          <w:tcPr>
            <w:tcW w:w="7667" w:type="dxa"/>
            <w:gridSpan w:val="2"/>
            <w:tcBorders>
              <w:top w:val="nil"/>
            </w:tcBorders>
            <w:vAlign w:val="center"/>
          </w:tcPr>
          <w:p w:rsidR="00EA09E9" w:rsidRPr="002C7EAB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rFonts w:cs="Microsoft Sans Serif"/>
                <w:bCs/>
              </w:rPr>
            </w:pPr>
            <w:r w:rsidRPr="002C7EAB">
              <w:rPr>
                <w:rFonts w:cs="Microsoft Sans Serif"/>
                <w:bCs/>
              </w:rPr>
              <w:t>İLKÖĞRETİM</w:t>
            </w:r>
            <w:r>
              <w:rPr>
                <w:rFonts w:cs="Microsoft Sans Serif"/>
                <w:bCs/>
              </w:rPr>
              <w:t>( )</w:t>
            </w:r>
            <w:r w:rsidRPr="002C7EAB">
              <w:rPr>
                <w:rFonts w:cs="Microsoft Sans Serif"/>
                <w:bCs/>
              </w:rPr>
              <w:t xml:space="preserve"> LİSE (  )      MYO (  )      ÜNİV ( </w:t>
            </w:r>
            <w:r>
              <w:rPr>
                <w:rFonts w:cs="Microsoft Sans Serif"/>
                <w:bCs/>
              </w:rPr>
              <w:t>X</w:t>
            </w:r>
            <w:r w:rsidRPr="002C7EAB">
              <w:rPr>
                <w:rFonts w:cs="Microsoft Sans Serif"/>
                <w:bCs/>
              </w:rPr>
              <w:t xml:space="preserve"> )    YÜKSEK LİSANS (  ) </w:t>
            </w:r>
            <w:r>
              <w:rPr>
                <w:rFonts w:cs="Microsoft Sans Serif"/>
                <w:bCs/>
              </w:rPr>
              <w:t>DOKTORA (</w:t>
            </w:r>
            <w:r w:rsidRPr="002C7EAB">
              <w:rPr>
                <w:rFonts w:cs="Microsoft Sans Serif"/>
                <w:bCs/>
              </w:rPr>
              <w:t xml:space="preserve"> )</w:t>
            </w:r>
          </w:p>
        </w:tc>
      </w:tr>
      <w:tr w:rsidR="00EA09E9" w:rsidRPr="00513AD2" w:rsidTr="0031276B">
        <w:trPr>
          <w:trHeight w:val="148"/>
        </w:trPr>
        <w:tc>
          <w:tcPr>
            <w:tcW w:w="3107" w:type="dxa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EA09E9" w:rsidRPr="0066148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 w:rsidRPr="00661489">
              <w:rPr>
                <w:b/>
                <w:bCs/>
                <w:sz w:val="24"/>
                <w:szCs w:val="24"/>
              </w:rPr>
              <w:t>YABANCI DİL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</w:tcBorders>
            <w:vAlign w:val="center"/>
          </w:tcPr>
          <w:p w:rsidR="00EA09E9" w:rsidRPr="002C7EAB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Cs/>
              </w:rPr>
            </w:pPr>
            <w:r w:rsidRPr="002C7EAB">
              <w:rPr>
                <w:bCs/>
              </w:rPr>
              <w:t xml:space="preserve">İngilizce ( </w:t>
            </w:r>
            <w:r>
              <w:rPr>
                <w:bCs/>
              </w:rPr>
              <w:t>X</w:t>
            </w:r>
            <w:r w:rsidRPr="002C7EAB">
              <w:rPr>
                <w:bCs/>
              </w:rPr>
              <w:t xml:space="preserve"> )      Almanca (  )    Değerlendirme Dışı  (  )   Diğer (  ) .......................        </w:t>
            </w:r>
          </w:p>
          <w:p w:rsidR="00EA09E9" w:rsidRPr="002C7EAB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Cs/>
              </w:rPr>
            </w:pPr>
            <w:r w:rsidRPr="002C7EAB">
              <w:rPr>
                <w:bCs/>
              </w:rPr>
              <w:t xml:space="preserve"> ( </w:t>
            </w:r>
            <w:r>
              <w:rPr>
                <w:bCs/>
              </w:rPr>
              <w:t>X</w:t>
            </w:r>
            <w:r w:rsidRPr="002C7EAB">
              <w:rPr>
                <w:bCs/>
              </w:rPr>
              <w:t xml:space="preserve"> ) çok iyi               (  )  iyi        (  ) orta                </w:t>
            </w:r>
          </w:p>
        </w:tc>
      </w:tr>
      <w:tr w:rsidR="00EA09E9" w:rsidRPr="00513AD2" w:rsidTr="00EA09E9">
        <w:trPr>
          <w:trHeight w:val="729"/>
        </w:trPr>
        <w:tc>
          <w:tcPr>
            <w:tcW w:w="3107" w:type="dxa"/>
            <w:tcBorders>
              <w:top w:val="single" w:sz="4" w:space="0" w:color="auto"/>
            </w:tcBorders>
            <w:shd w:val="clear" w:color="auto" w:fill="EAEAEA"/>
            <w:vAlign w:val="center"/>
          </w:tcPr>
          <w:p w:rsidR="00EA09E9" w:rsidRPr="0066148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 w:rsidRPr="00661489">
              <w:rPr>
                <w:b/>
                <w:bCs/>
                <w:sz w:val="24"/>
                <w:szCs w:val="24"/>
              </w:rPr>
              <w:t>DENEYİM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</w:tcBorders>
            <w:vAlign w:val="center"/>
          </w:tcPr>
          <w:p w:rsidR="00EA09E9" w:rsidRPr="002C7EAB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Cs/>
              </w:rPr>
            </w:pPr>
            <w:r w:rsidRPr="002C7EAB">
              <w:rPr>
                <w:bCs/>
              </w:rPr>
              <w:t>1 yıldan Az (  )       1-2 Yıl (</w:t>
            </w:r>
            <w:r>
              <w:rPr>
                <w:bCs/>
              </w:rPr>
              <w:t>X</w:t>
            </w:r>
            <w:r w:rsidRPr="002C7EAB">
              <w:rPr>
                <w:bCs/>
              </w:rPr>
              <w:t xml:space="preserve">  )            3-5 Yıl  (  )         5 yıldan Fazla (  )</w:t>
            </w:r>
          </w:p>
          <w:p w:rsidR="00EA09E9" w:rsidRPr="002C7EAB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Cs/>
              </w:rPr>
            </w:pPr>
            <w:r w:rsidRPr="002C7EAB">
              <w:rPr>
                <w:bCs/>
              </w:rPr>
              <w:t>Değerlendirme Dışı  (  )</w:t>
            </w:r>
          </w:p>
        </w:tc>
      </w:tr>
      <w:tr w:rsidR="00EA09E9" w:rsidRPr="00513AD2" w:rsidTr="0031276B">
        <w:trPr>
          <w:trHeight w:val="27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09E9" w:rsidRPr="0066148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 GÖREV İÇİN İSTENEN ÖZEL EĞİTİMLER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</w:tcBorders>
          </w:tcPr>
          <w:p w:rsidR="00EA09E9" w:rsidRDefault="00EA09E9" w:rsidP="00EA09E9">
            <w:pPr>
              <w:pStyle w:val="ListeParagraf"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Yabancı Dil Becerisi</w:t>
            </w:r>
          </w:p>
          <w:p w:rsidR="00EA09E9" w:rsidRDefault="00EA09E9" w:rsidP="00EA09E9">
            <w:pPr>
              <w:pStyle w:val="ListeParagraf"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Proje Sistemi Hakimiyeti</w:t>
            </w:r>
          </w:p>
          <w:p w:rsidR="00EA09E9" w:rsidRDefault="00EA09E9" w:rsidP="00EA09E9">
            <w:pPr>
              <w:pStyle w:val="ListeParagraf"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EBYS Kullanım Becerisi</w:t>
            </w:r>
          </w:p>
          <w:p w:rsidR="00EA09E9" w:rsidRDefault="00EA09E9" w:rsidP="00EA09E9">
            <w:pPr>
              <w:pStyle w:val="ListeParagraf"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Etkili İletişim</w:t>
            </w:r>
          </w:p>
          <w:p w:rsidR="00EA09E9" w:rsidRPr="00C472E9" w:rsidRDefault="00EA09E9" w:rsidP="00EA09E9">
            <w:pPr>
              <w:pStyle w:val="ListeParagraf"/>
              <w:numPr>
                <w:ilvl w:val="0"/>
                <w:numId w:val="4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Diksiyon eğitimi</w:t>
            </w:r>
          </w:p>
        </w:tc>
      </w:tr>
      <w:tr w:rsidR="00EA09E9" w:rsidRPr="00513AD2" w:rsidTr="0031276B">
        <w:trPr>
          <w:trHeight w:val="270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09E9" w:rsidRPr="0066148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UYULMASI GEREKEN DÖKÜMANLAR</w:t>
            </w:r>
          </w:p>
        </w:tc>
        <w:tc>
          <w:tcPr>
            <w:tcW w:w="7667" w:type="dxa"/>
            <w:gridSpan w:val="2"/>
          </w:tcPr>
          <w:p w:rsidR="00EA09E9" w:rsidRDefault="00EA09E9" w:rsidP="00EA09E9">
            <w:pPr>
              <w:pStyle w:val="ListeParagraf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Erasmus ECHE Yönergesi</w:t>
            </w:r>
          </w:p>
          <w:p w:rsidR="00EA09E9" w:rsidRDefault="00EA09E9" w:rsidP="00EA09E9">
            <w:pPr>
              <w:pStyle w:val="ListeParagraf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Erasmus KA103 projesi</w:t>
            </w:r>
          </w:p>
          <w:p w:rsidR="00EA09E9" w:rsidRPr="00B20F94" w:rsidRDefault="00EA09E9" w:rsidP="00EA09E9">
            <w:pPr>
              <w:pStyle w:val="ListeParagraf"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T.C. Ulusal Ajansı Erasmus El kitabı</w:t>
            </w:r>
          </w:p>
        </w:tc>
      </w:tr>
      <w:tr w:rsidR="00EA09E9" w:rsidRPr="00513AD2" w:rsidTr="0031276B">
        <w:trPr>
          <w:trHeight w:val="185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09E9" w:rsidRPr="0066148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TEKNİK NİTELİKLER</w:t>
            </w:r>
          </w:p>
        </w:tc>
        <w:tc>
          <w:tcPr>
            <w:tcW w:w="7667" w:type="dxa"/>
            <w:gridSpan w:val="2"/>
          </w:tcPr>
          <w:p w:rsidR="00EA09E9" w:rsidRPr="00BE1F45" w:rsidRDefault="00EA09E9" w:rsidP="0031276B"/>
          <w:p w:rsidR="00EA09E9" w:rsidRPr="00BE1F45" w:rsidRDefault="00EA09E9" w:rsidP="0031276B"/>
        </w:tc>
      </w:tr>
      <w:tr w:rsidR="00EA09E9" w:rsidRPr="00513AD2" w:rsidTr="0031276B">
        <w:trPr>
          <w:trHeight w:val="1696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09E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TEMEL NİTELİKLER</w:t>
            </w:r>
          </w:p>
        </w:tc>
        <w:tc>
          <w:tcPr>
            <w:tcW w:w="7667" w:type="dxa"/>
            <w:gridSpan w:val="2"/>
          </w:tcPr>
          <w:p w:rsidR="00EA09E9" w:rsidRDefault="00EA09E9" w:rsidP="00EA09E9">
            <w:pPr>
              <w:pStyle w:val="ListeParagraf"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Motivasyonu Yüksek</w:t>
            </w:r>
          </w:p>
          <w:p w:rsidR="00EA09E9" w:rsidRDefault="00EA09E9" w:rsidP="00EA09E9">
            <w:pPr>
              <w:pStyle w:val="ListeParagraf"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Ekip/Takım Çalışması</w:t>
            </w:r>
          </w:p>
          <w:p w:rsidR="00EA09E9" w:rsidRPr="0035233F" w:rsidRDefault="00EA09E9" w:rsidP="00EA09E9">
            <w:pPr>
              <w:pStyle w:val="ListeParagraf"/>
              <w:numPr>
                <w:ilvl w:val="0"/>
                <w:numId w:val="3"/>
              </w:numPr>
              <w:autoSpaceDE/>
              <w:autoSpaceDN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Bilgi Paylaşımı</w:t>
            </w:r>
          </w:p>
        </w:tc>
      </w:tr>
      <w:tr w:rsidR="00EA09E9" w:rsidRPr="00513AD2" w:rsidTr="0031276B">
        <w:trPr>
          <w:trHeight w:val="356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09E9" w:rsidRDefault="00EA09E9" w:rsidP="0031276B">
            <w:pPr>
              <w:tabs>
                <w:tab w:val="left" w:pos="426"/>
                <w:tab w:val="center" w:pos="4536"/>
                <w:tab w:val="right" w:pos="9072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YÖNETSEL NİTELİKLER</w:t>
            </w:r>
          </w:p>
        </w:tc>
        <w:tc>
          <w:tcPr>
            <w:tcW w:w="7667" w:type="dxa"/>
            <w:gridSpan w:val="2"/>
          </w:tcPr>
          <w:p w:rsidR="00EA09E9" w:rsidRPr="009914E8" w:rsidRDefault="00EA09E9" w:rsidP="0031276B">
            <w:r>
              <w:t>-</w:t>
            </w:r>
          </w:p>
        </w:tc>
      </w:tr>
      <w:tr w:rsidR="00EA09E9" w:rsidRPr="00513AD2" w:rsidTr="0031276B">
        <w:trPr>
          <w:trHeight w:val="1465"/>
        </w:trPr>
        <w:tc>
          <w:tcPr>
            <w:tcW w:w="3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:rsidR="00EA09E9" w:rsidRDefault="00EA09E9" w:rsidP="00EA09E9">
            <w:pPr>
              <w:tabs>
                <w:tab w:val="left" w:pos="426"/>
                <w:tab w:val="center" w:pos="4536"/>
                <w:tab w:val="right" w:pos="9072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9" w:type="dxa"/>
            <w:tcBorders>
              <w:bottom w:val="single" w:sz="4" w:space="0" w:color="auto"/>
            </w:tcBorders>
          </w:tcPr>
          <w:p w:rsidR="00EA09E9" w:rsidRDefault="00EA09E9" w:rsidP="00EA09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DA8">
              <w:rPr>
                <w:b/>
                <w:sz w:val="24"/>
                <w:szCs w:val="24"/>
              </w:rPr>
              <w:t>HAZIRLAYAN</w:t>
            </w:r>
          </w:p>
          <w:p w:rsidR="00EA09E9" w:rsidRPr="00D84DA8" w:rsidRDefault="00EA09E9" w:rsidP="00EA09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GENEL SEKRETER</w:t>
            </w: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:rsidR="00EA09E9" w:rsidRPr="00D84DA8" w:rsidRDefault="00EA09E9" w:rsidP="00EA09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84DA8">
              <w:rPr>
                <w:b/>
                <w:sz w:val="24"/>
                <w:szCs w:val="24"/>
              </w:rPr>
              <w:t>ONAYLAYAN</w:t>
            </w:r>
          </w:p>
          <w:p w:rsidR="00EA09E9" w:rsidRPr="00D84DA8" w:rsidRDefault="00EA09E9" w:rsidP="00EA09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REKTÖR</w:t>
            </w:r>
          </w:p>
        </w:tc>
      </w:tr>
    </w:tbl>
    <w:p w:rsidR="00EA09E9" w:rsidRDefault="00EA09E9"/>
    <w:p w:rsidR="00EA09E9" w:rsidRDefault="00EA09E9"/>
    <w:sectPr w:rsidR="00EA09E9" w:rsidSect="00EA09E9">
      <w:headerReference w:type="default" r:id="rId7"/>
      <w:footerReference w:type="default" r:id="rId8"/>
      <w:pgSz w:w="11906" w:h="16838"/>
      <w:pgMar w:top="1417" w:right="1417" w:bottom="1417" w:left="1417" w:header="284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9E9" w:rsidRDefault="00EA09E9" w:rsidP="00EA09E9">
      <w:pPr>
        <w:spacing w:after="0" w:line="240" w:lineRule="auto"/>
      </w:pPr>
      <w:r>
        <w:separator/>
      </w:r>
    </w:p>
  </w:endnote>
  <w:endnote w:type="continuationSeparator" w:id="0">
    <w:p w:rsidR="00EA09E9" w:rsidRDefault="00EA09E9" w:rsidP="00EA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9E9" w:rsidRDefault="00EA09E9" w:rsidP="00EA09E9">
    <w:pPr>
      <w:pStyle w:val="Altbilgi"/>
      <w:ind w:hanging="851"/>
    </w:pPr>
    <w:r>
      <w:rPr>
        <w:rFonts w:ascii="Arial" w:hAnsi="Arial"/>
        <w:color w:val="000000"/>
        <w:sz w:val="16"/>
      </w:rPr>
      <w:t xml:space="preserve">Doküman no: Uİ.GT.01 Yayın Tarihi: 26.03.2018 </w:t>
    </w:r>
    <w:r w:rsidRPr="002A25BD">
      <w:rPr>
        <w:rFonts w:ascii="Arial" w:hAnsi="Arial"/>
        <w:color w:val="000000"/>
        <w:sz w:val="16"/>
      </w:rPr>
      <w:t>Rev no</w:t>
    </w:r>
    <w:r>
      <w:rPr>
        <w:rFonts w:ascii="Arial" w:hAnsi="Arial"/>
        <w:color w:val="000000"/>
        <w:sz w:val="16"/>
      </w:rPr>
      <w:t>/Tarih: 02/27.11.2025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9E9" w:rsidRDefault="00EA09E9" w:rsidP="00EA09E9">
      <w:pPr>
        <w:spacing w:after="0" w:line="240" w:lineRule="auto"/>
      </w:pPr>
      <w:r>
        <w:separator/>
      </w:r>
    </w:p>
  </w:footnote>
  <w:footnote w:type="continuationSeparator" w:id="0">
    <w:p w:rsidR="00EA09E9" w:rsidRDefault="00EA09E9" w:rsidP="00EA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5"/>
      <w:gridCol w:w="8789"/>
    </w:tblGrid>
    <w:tr w:rsidR="00EA09E9" w:rsidRPr="002150DF" w:rsidTr="00EA09E9">
      <w:trPr>
        <w:trHeight w:val="253"/>
      </w:trPr>
      <w:tc>
        <w:tcPr>
          <w:tcW w:w="1985" w:type="dxa"/>
          <w:vMerge w:val="restart"/>
          <w:vAlign w:val="center"/>
        </w:tcPr>
        <w:p w:rsidR="00EA09E9" w:rsidRPr="00A22E0A" w:rsidRDefault="00EA09E9" w:rsidP="00EA09E9">
          <w:pPr>
            <w:pStyle w:val="stbilgi"/>
            <w:ind w:right="1056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023D30B" wp14:editId="09641D79">
                <wp:extent cx="1033145" cy="101727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kü logoo-PhotoRoom.png-PhotoRoo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145" cy="1017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9" w:type="dxa"/>
          <w:vMerge w:val="restart"/>
          <w:vAlign w:val="center"/>
        </w:tcPr>
        <w:p w:rsidR="00EA09E9" w:rsidRDefault="00EA09E9" w:rsidP="00EA09E9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</w:p>
        <w:p w:rsidR="00EA09E9" w:rsidRDefault="00EA09E9" w:rsidP="00EA09E9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</w:p>
        <w:p w:rsidR="00EA09E9" w:rsidRDefault="00EA09E9" w:rsidP="00EA09E9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</w:p>
        <w:p w:rsidR="00EA09E9" w:rsidRPr="003B2E8B" w:rsidRDefault="00EA09E9" w:rsidP="00EA09E9">
          <w:pPr>
            <w:spacing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F5672">
            <w:rPr>
              <w:rFonts w:ascii="Times New Roman" w:hAnsi="Times New Roman" w:cs="Times New Roman"/>
              <w:b/>
              <w:bCs/>
              <w:sz w:val="24"/>
              <w:szCs w:val="24"/>
            </w:rPr>
            <w:t>ULUSLARARASI İLİŞKİLER OFİSİ MEMURU/UZMANI GÖREV TANIMI</w:t>
          </w:r>
        </w:p>
        <w:p w:rsidR="00EA09E9" w:rsidRDefault="00EA09E9" w:rsidP="00EA09E9">
          <w:pPr>
            <w:pStyle w:val="stbilgi"/>
            <w:jc w:val="center"/>
            <w:rPr>
              <w:rFonts w:ascii="Arial" w:hAnsi="Arial" w:cs="Arial"/>
              <w:b/>
              <w:sz w:val="20"/>
            </w:rPr>
          </w:pPr>
        </w:p>
        <w:p w:rsidR="00EA09E9" w:rsidRPr="002150DF" w:rsidRDefault="00EA09E9" w:rsidP="00EA09E9">
          <w:pPr>
            <w:pStyle w:val="stbilgi"/>
            <w:rPr>
              <w:rFonts w:ascii="Arial" w:hAnsi="Arial" w:cs="Arial"/>
              <w:b/>
              <w:sz w:val="28"/>
            </w:rPr>
          </w:pPr>
        </w:p>
      </w:tc>
    </w:tr>
    <w:tr w:rsidR="00EA09E9" w:rsidRPr="00A22E0A" w:rsidTr="00EA09E9">
      <w:trPr>
        <w:trHeight w:val="253"/>
      </w:trPr>
      <w:tc>
        <w:tcPr>
          <w:tcW w:w="1985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789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A09E9" w:rsidRPr="00A22E0A" w:rsidTr="00EA09E9">
      <w:trPr>
        <w:trHeight w:val="253"/>
      </w:trPr>
      <w:tc>
        <w:tcPr>
          <w:tcW w:w="1985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789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A09E9" w:rsidRPr="00A22E0A" w:rsidTr="00EA09E9">
      <w:trPr>
        <w:trHeight w:val="253"/>
      </w:trPr>
      <w:tc>
        <w:tcPr>
          <w:tcW w:w="1985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789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</w:tr>
    <w:tr w:rsidR="00EA09E9" w:rsidRPr="00A22E0A" w:rsidTr="00EA09E9">
      <w:trPr>
        <w:trHeight w:val="253"/>
      </w:trPr>
      <w:tc>
        <w:tcPr>
          <w:tcW w:w="1985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8789" w:type="dxa"/>
          <w:vMerge/>
          <w:vAlign w:val="center"/>
        </w:tcPr>
        <w:p w:rsidR="00EA09E9" w:rsidRPr="00A22E0A" w:rsidRDefault="00EA09E9" w:rsidP="00EA09E9">
          <w:pPr>
            <w:pStyle w:val="stbilgi"/>
            <w:jc w:val="center"/>
            <w:rPr>
              <w:rFonts w:ascii="Arial" w:hAnsi="Arial" w:cs="Arial"/>
            </w:rPr>
          </w:pPr>
        </w:p>
      </w:tc>
    </w:tr>
  </w:tbl>
  <w:p w:rsidR="00EA09E9" w:rsidRDefault="00EA09E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14E7E"/>
    <w:multiLevelType w:val="hybridMultilevel"/>
    <w:tmpl w:val="169E11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51897"/>
    <w:multiLevelType w:val="hybridMultilevel"/>
    <w:tmpl w:val="DC788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D64C5"/>
    <w:multiLevelType w:val="hybridMultilevel"/>
    <w:tmpl w:val="464886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A6F7B"/>
    <w:multiLevelType w:val="hybridMultilevel"/>
    <w:tmpl w:val="1E8EA0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6C0"/>
    <w:rsid w:val="001D56C0"/>
    <w:rsid w:val="002C01F0"/>
    <w:rsid w:val="004E3ADF"/>
    <w:rsid w:val="00EA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323CF6-74EF-4105-B73C-09FEA8D5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0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A09E9"/>
  </w:style>
  <w:style w:type="paragraph" w:styleId="Altbilgi">
    <w:name w:val="footer"/>
    <w:basedOn w:val="Normal"/>
    <w:link w:val="AltbilgiChar"/>
    <w:uiPriority w:val="99"/>
    <w:unhideWhenUsed/>
    <w:rsid w:val="00EA0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A09E9"/>
  </w:style>
  <w:style w:type="paragraph" w:styleId="ListeParagraf">
    <w:name w:val="List Paragraph"/>
    <w:basedOn w:val="Normal"/>
    <w:uiPriority w:val="34"/>
    <w:qFormat/>
    <w:rsid w:val="00EA09E9"/>
    <w:pPr>
      <w:autoSpaceDE w:val="0"/>
      <w:autoSpaceDN w:val="0"/>
      <w:spacing w:after="0" w:line="240" w:lineRule="auto"/>
      <w:ind w:left="720"/>
      <w:contextualSpacing/>
    </w:pPr>
    <w:rPr>
      <w:rFonts w:ascii="Calibri" w:hAnsi="Calibri" w:cs="Arial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Keles</dc:creator>
  <cp:keywords/>
  <dc:description/>
  <cp:lastModifiedBy>Omer Keles</cp:lastModifiedBy>
  <cp:revision>2</cp:revision>
  <dcterms:created xsi:type="dcterms:W3CDTF">2025-11-28T07:30:00Z</dcterms:created>
  <dcterms:modified xsi:type="dcterms:W3CDTF">2025-11-28T07:42:00Z</dcterms:modified>
</cp:coreProperties>
</file>